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400CF" w14:textId="7698F153" w:rsidR="00295FEF" w:rsidRDefault="00295FEF" w:rsidP="00982428">
      <w:pPr>
        <w:pStyle w:val="Nadpis1"/>
        <w:rPr>
          <w:b/>
          <w:sz w:val="40"/>
          <w:szCs w:val="40"/>
          <w:u w:val="single"/>
        </w:rPr>
      </w:pPr>
      <w:bookmarkStart w:id="0" w:name="_Toc144985771"/>
      <w:r w:rsidRPr="00295FEF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47AB31D" wp14:editId="5AD24081">
            <wp:simplePos x="0" y="0"/>
            <wp:positionH relativeFrom="margin">
              <wp:posOffset>738505</wp:posOffset>
            </wp:positionH>
            <wp:positionV relativeFrom="margin">
              <wp:posOffset>-61595</wp:posOffset>
            </wp:positionV>
            <wp:extent cx="4514850" cy="1198880"/>
            <wp:effectExtent l="0" t="0" r="0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03A886" w14:textId="4E26FA2B" w:rsidR="00982428" w:rsidRDefault="00982428" w:rsidP="00982428">
      <w:pPr>
        <w:pStyle w:val="Nadpis1"/>
        <w:rPr>
          <w:b/>
          <w:sz w:val="40"/>
          <w:szCs w:val="40"/>
          <w:u w:val="single"/>
        </w:rPr>
      </w:pPr>
    </w:p>
    <w:p w14:paraId="607BF15B" w14:textId="7A0B3167" w:rsidR="00295FEF" w:rsidRPr="00295FEF" w:rsidRDefault="00295FEF" w:rsidP="00295FEF">
      <w:pPr>
        <w:pStyle w:val="Nadpis1"/>
        <w:pBdr>
          <w:bottom w:val="single" w:sz="4" w:space="1" w:color="auto"/>
        </w:pBdr>
        <w:ind w:right="-567"/>
      </w:pPr>
      <w:r w:rsidRPr="00295FEF">
        <w:rPr>
          <w:b/>
          <w:sz w:val="40"/>
          <w:szCs w:val="40"/>
          <w:u w:val="single"/>
        </w:rPr>
        <w:t xml:space="preserve">   </w:t>
      </w:r>
    </w:p>
    <w:p w14:paraId="0628D3BF" w14:textId="2A5C1D21" w:rsidR="00295FEF" w:rsidRPr="00256C5B" w:rsidRDefault="00256C5B" w:rsidP="00982428">
      <w:pPr>
        <w:pStyle w:val="Nadpis1"/>
        <w:rPr>
          <w:b/>
          <w:sz w:val="40"/>
          <w:szCs w:val="40"/>
          <w:u w:val="single"/>
        </w:rPr>
      </w:pPr>
      <w:r w:rsidRPr="00256C5B">
        <w:rPr>
          <w:b/>
          <w:sz w:val="40"/>
          <w:szCs w:val="40"/>
          <w:u w:val="single"/>
        </w:rPr>
        <w:t xml:space="preserve">Příloha č. </w:t>
      </w:r>
      <w:r w:rsidR="00DC6D5C">
        <w:rPr>
          <w:b/>
          <w:sz w:val="40"/>
          <w:szCs w:val="40"/>
          <w:u w:val="single"/>
        </w:rPr>
        <w:t>5</w:t>
      </w:r>
      <w:r w:rsidRPr="00256C5B">
        <w:rPr>
          <w:b/>
          <w:sz w:val="40"/>
          <w:szCs w:val="40"/>
          <w:u w:val="single"/>
        </w:rPr>
        <w:t xml:space="preserve"> </w:t>
      </w:r>
      <w:r w:rsidR="00DC6D5C">
        <w:rPr>
          <w:b/>
          <w:sz w:val="40"/>
          <w:szCs w:val="40"/>
          <w:u w:val="single"/>
        </w:rPr>
        <w:t>Harmonogram</w:t>
      </w:r>
    </w:p>
    <w:p w14:paraId="03C85551" w14:textId="69E254F0" w:rsidR="00982428" w:rsidRPr="00256C5B" w:rsidRDefault="00982428" w:rsidP="00982428">
      <w:pPr>
        <w:pStyle w:val="Nadpis1"/>
        <w:rPr>
          <w:bCs/>
          <w:sz w:val="40"/>
          <w:szCs w:val="40"/>
        </w:rPr>
      </w:pPr>
      <w:r w:rsidRPr="00256C5B">
        <w:rPr>
          <w:bCs/>
          <w:sz w:val="40"/>
          <w:szCs w:val="40"/>
          <w:u w:val="single"/>
        </w:rPr>
        <w:t>Projekt:</w:t>
      </w:r>
      <w:r w:rsidRPr="00256C5B">
        <w:rPr>
          <w:bCs/>
          <w:sz w:val="40"/>
          <w:szCs w:val="40"/>
        </w:rPr>
        <w:t xml:space="preserve"> </w:t>
      </w:r>
      <w:r w:rsidRPr="00256C5B">
        <w:rPr>
          <w:bCs/>
          <w:sz w:val="40"/>
          <w:szCs w:val="40"/>
          <w:u w:val="single"/>
        </w:rPr>
        <w:t>Vlára a toky Bílých Karpat</w:t>
      </w:r>
      <w:bookmarkEnd w:id="0"/>
    </w:p>
    <w:p w14:paraId="377DC996" w14:textId="0205AF58" w:rsidR="00982428" w:rsidRDefault="00982428" w:rsidP="0098242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</w:pPr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 xml:space="preserve">Část </w:t>
      </w:r>
      <w:proofErr w:type="spellStart"/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B</w:t>
      </w:r>
      <w:r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_</w:t>
      </w:r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Analýza</w:t>
      </w:r>
      <w:proofErr w:type="spellEnd"/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 xml:space="preserve"> a aplikace zkušeností a tvorba akčního plánů</w:t>
      </w:r>
    </w:p>
    <w:p w14:paraId="6FAB4C11" w14:textId="37B8151E" w:rsidR="00982428" w:rsidRDefault="00982428" w:rsidP="00982428">
      <w:pPr>
        <w:jc w:val="both"/>
        <w:rPr>
          <w:u w:val="single"/>
        </w:rPr>
      </w:pPr>
      <w:r>
        <w:rPr>
          <w:noProof/>
        </w:rPr>
        <w:drawing>
          <wp:inline distT="0" distB="0" distL="0" distR="0" wp14:anchorId="0F0F0EF5" wp14:editId="12A41BDD">
            <wp:extent cx="6390005" cy="4790440"/>
            <wp:effectExtent l="0" t="0" r="0" b="0"/>
            <wp:docPr id="1" name="Obrázek 1" descr="https://d34-a.sdn.cz/d_34/c_img_QO_h/gBQIIH.jpeg?fl=res,2200,2200,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https://d34-a.sdn.cz/d_34/c_img_QO_h/gBQIIH.jpeg?fl=res,2200,2200,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790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5359D" w14:textId="77777777" w:rsidR="00295FEF" w:rsidRPr="00295FEF" w:rsidRDefault="00295FEF" w:rsidP="00982428">
      <w:pPr>
        <w:pStyle w:val="Nadpis1"/>
        <w:jc w:val="center"/>
        <w:rPr>
          <w:b/>
          <w:u w:val="single"/>
        </w:rPr>
      </w:pPr>
    </w:p>
    <w:p w14:paraId="150D3B0B" w14:textId="41DE397C" w:rsidR="00982428" w:rsidRDefault="00DC6D5C" w:rsidP="00256C5B">
      <w:pPr>
        <w:pStyle w:val="Nadpis1"/>
        <w:jc w:val="center"/>
        <w:rPr>
          <w:u w:val="single"/>
        </w:rPr>
      </w:pPr>
      <w:r>
        <w:rPr>
          <w:b/>
          <w:sz w:val="56"/>
          <w:szCs w:val="56"/>
          <w:u w:val="single"/>
        </w:rPr>
        <w:t>Harmonogram</w:t>
      </w:r>
    </w:p>
    <w:p w14:paraId="379ECE3E" w14:textId="3CA7A670" w:rsidR="00982428" w:rsidRDefault="00982428" w:rsidP="00295FEF">
      <w:pPr>
        <w:jc w:val="center"/>
        <w:rPr>
          <w:u w:val="single"/>
        </w:rPr>
      </w:pPr>
    </w:p>
    <w:p w14:paraId="520BB793" w14:textId="268E7365" w:rsidR="00134CAE" w:rsidRDefault="00134CAE" w:rsidP="000E4B9F">
      <w:pPr>
        <w:tabs>
          <w:tab w:val="left" w:pos="1134"/>
        </w:tabs>
        <w:spacing w:after="0" w:line="240" w:lineRule="auto"/>
        <w:jc w:val="both"/>
      </w:pPr>
    </w:p>
    <w:p w14:paraId="35E82B18" w14:textId="5FBD11AB" w:rsidR="000E4B9F" w:rsidRDefault="000E4B9F" w:rsidP="000E4B9F">
      <w:pPr>
        <w:tabs>
          <w:tab w:val="left" w:pos="1134"/>
        </w:tabs>
        <w:spacing w:after="0" w:line="240" w:lineRule="auto"/>
        <w:jc w:val="both"/>
      </w:pPr>
      <w:r w:rsidRPr="000E4B9F">
        <w:t>Z</w:t>
      </w:r>
      <w:r>
        <w:t>a</w:t>
      </w:r>
      <w:r w:rsidRPr="000E4B9F">
        <w:t xml:space="preserve">kázka </w:t>
      </w:r>
      <w:r w:rsidRPr="000E4B9F">
        <w:rPr>
          <w:b/>
          <w:bCs/>
        </w:rPr>
        <w:t xml:space="preserve">„Projekt: Vlára a toky Bílých Karpat, Část </w:t>
      </w:r>
      <w:proofErr w:type="spellStart"/>
      <w:r w:rsidRPr="000E4B9F">
        <w:rPr>
          <w:b/>
          <w:bCs/>
        </w:rPr>
        <w:t>B_Analýza</w:t>
      </w:r>
      <w:proofErr w:type="spellEnd"/>
      <w:r w:rsidRPr="000E4B9F">
        <w:rPr>
          <w:b/>
          <w:bCs/>
        </w:rPr>
        <w:t xml:space="preserve"> a aplikace zkušeností a tvorba akčního plánů“</w:t>
      </w:r>
      <w:r>
        <w:t xml:space="preserve"> </w:t>
      </w:r>
      <w:r w:rsidR="00B1766C">
        <w:t>má následující harmonogram, který tvoří dílčí plnění a jeho obsah</w:t>
      </w:r>
      <w:r>
        <w:t>:</w:t>
      </w:r>
    </w:p>
    <w:p w14:paraId="05CCE843" w14:textId="77777777" w:rsidR="00B1766C" w:rsidRDefault="00B1766C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ascii="Arial" w:hAnsi="Arial" w:cs="Arial"/>
          <w:i/>
          <w:highlight w:val="yellow"/>
          <w:u w:val="single"/>
        </w:rPr>
      </w:pPr>
    </w:p>
    <w:p w14:paraId="3E53C3DC" w14:textId="77777777" w:rsidR="00B1766C" w:rsidRDefault="00B1766C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ascii="Arial" w:hAnsi="Arial" w:cs="Arial"/>
          <w:i/>
          <w:highlight w:val="yellow"/>
          <w:u w:val="single"/>
        </w:rPr>
      </w:pPr>
    </w:p>
    <w:p w14:paraId="1F3E4C20" w14:textId="77777777" w:rsidR="00B1766C" w:rsidRPr="00B1766C" w:rsidRDefault="00B1766C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cstheme="minorHAnsi"/>
          <w:iCs/>
          <w:highlight w:val="yellow"/>
        </w:rPr>
      </w:pPr>
      <w:r w:rsidRPr="00B1766C">
        <w:rPr>
          <w:rFonts w:cstheme="minorHAnsi"/>
          <w:iCs/>
          <w:highlight w:val="yellow"/>
          <w:u w:val="single"/>
        </w:rPr>
        <w:t>Dílčí plnění 1 – Analýza podkladů</w:t>
      </w:r>
      <w:r w:rsidRPr="00B1766C">
        <w:rPr>
          <w:rFonts w:cstheme="minorHAnsi"/>
          <w:iCs/>
          <w:highlight w:val="yellow"/>
        </w:rPr>
        <w:t xml:space="preserve"> </w:t>
      </w:r>
    </w:p>
    <w:p w14:paraId="0EAA4A17" w14:textId="6C6FFCB3" w:rsidR="00B1766C" w:rsidRPr="00B1766C" w:rsidRDefault="00B1766C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cstheme="minorHAnsi"/>
          <w:b/>
          <w:iCs/>
          <w:highlight w:val="yellow"/>
        </w:rPr>
      </w:pPr>
      <w:r w:rsidRPr="00B1766C">
        <w:rPr>
          <w:rFonts w:cstheme="minorHAnsi"/>
          <w:iCs/>
          <w:highlight w:val="yellow"/>
        </w:rPr>
        <w:t xml:space="preserve">bude provedeno </w:t>
      </w:r>
      <w:r w:rsidRPr="00B1766C">
        <w:rPr>
          <w:rFonts w:cstheme="minorHAnsi"/>
          <w:b/>
          <w:iCs/>
          <w:highlight w:val="yellow"/>
        </w:rPr>
        <w:t xml:space="preserve">do 170 dnů </w:t>
      </w:r>
      <w:r w:rsidRPr="00B1766C">
        <w:rPr>
          <w:rFonts w:cstheme="minorHAnsi"/>
          <w:bCs/>
          <w:iCs/>
          <w:highlight w:val="yellow"/>
        </w:rPr>
        <w:t xml:space="preserve">od nabytí účinnosti </w:t>
      </w:r>
      <w:proofErr w:type="spellStart"/>
      <w:r w:rsidRPr="00B1766C">
        <w:rPr>
          <w:rFonts w:cstheme="minorHAnsi"/>
          <w:bCs/>
          <w:iCs/>
          <w:highlight w:val="yellow"/>
        </w:rPr>
        <w:t>SoD</w:t>
      </w:r>
      <w:proofErr w:type="spellEnd"/>
    </w:p>
    <w:p w14:paraId="45FD6714" w14:textId="77777777" w:rsidR="00B1766C" w:rsidRPr="00B1766C" w:rsidRDefault="00B1766C" w:rsidP="00B1766C">
      <w:pPr>
        <w:tabs>
          <w:tab w:val="num" w:pos="0"/>
          <w:tab w:val="left" w:pos="4680"/>
        </w:tabs>
        <w:spacing w:after="60"/>
        <w:jc w:val="both"/>
        <w:rPr>
          <w:rFonts w:cstheme="minorHAnsi"/>
          <w:iCs/>
        </w:rPr>
      </w:pPr>
    </w:p>
    <w:p w14:paraId="2D3A43C6" w14:textId="3E7F2B97" w:rsidR="00B1766C" w:rsidRPr="00B1766C" w:rsidRDefault="00B1766C" w:rsidP="00B1766C">
      <w:pPr>
        <w:tabs>
          <w:tab w:val="num" w:pos="0"/>
          <w:tab w:val="left" w:pos="4680"/>
        </w:tabs>
        <w:spacing w:after="60"/>
        <w:jc w:val="both"/>
        <w:rPr>
          <w:rFonts w:cstheme="minorHAnsi"/>
          <w:iCs/>
        </w:rPr>
      </w:pPr>
      <w:r w:rsidRPr="00B1766C">
        <w:rPr>
          <w:rFonts w:cstheme="minorHAnsi"/>
          <w:iCs/>
        </w:rPr>
        <w:t>V </w:t>
      </w:r>
      <w:r w:rsidR="00406726" w:rsidRPr="00B1766C">
        <w:rPr>
          <w:rFonts w:cstheme="minorHAnsi"/>
          <w:iCs/>
        </w:rPr>
        <w:t>rámci</w:t>
      </w:r>
      <w:r w:rsidRPr="00B1766C">
        <w:rPr>
          <w:rFonts w:cstheme="minorHAnsi"/>
          <w:iCs/>
        </w:rPr>
        <w:t xml:space="preserve"> dílčího plnění budou provedeny </w:t>
      </w:r>
      <w:r w:rsidR="00406726" w:rsidRPr="00B1766C">
        <w:rPr>
          <w:rFonts w:cstheme="minorHAnsi"/>
          <w:iCs/>
        </w:rPr>
        <w:t>následující</w:t>
      </w:r>
      <w:r w:rsidRPr="00B1766C">
        <w:rPr>
          <w:rFonts w:cstheme="minorHAnsi"/>
          <w:iCs/>
        </w:rPr>
        <w:t xml:space="preserve"> položky rozpočtu:</w:t>
      </w:r>
    </w:p>
    <w:p w14:paraId="5C4CC5BB" w14:textId="33FB2D16" w:rsidR="00B1766C" w:rsidRPr="00406726" w:rsidRDefault="00B1766C" w:rsidP="00406726">
      <w:pPr>
        <w:numPr>
          <w:ilvl w:val="2"/>
          <w:numId w:val="1"/>
        </w:numPr>
        <w:tabs>
          <w:tab w:val="num" w:pos="0"/>
        </w:tabs>
        <w:jc w:val="both"/>
      </w:pPr>
      <w:r w:rsidRPr="00406726">
        <w:t>B1) Analýza a aplikace zkušeností na hlavním tok Vláry – analýzy na území CZ</w:t>
      </w:r>
    </w:p>
    <w:p w14:paraId="084A74D3" w14:textId="45534977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B1) Analýza a aplikace zkušeností na hlavním tok Vláry – analýzy na území SK</w:t>
      </w:r>
    </w:p>
    <w:p w14:paraId="2B70669F" w14:textId="722658D2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B2) Analýza a aplikace zkušeností na přítoky na území ČR i SK– analýzy na území CZ</w:t>
      </w:r>
    </w:p>
    <w:p w14:paraId="121D9C6F" w14:textId="2C1A0917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B2) Analýza a aplikace zkušeností na přítoky na území ČR i SK– analýzy na území SK</w:t>
      </w:r>
    </w:p>
    <w:p w14:paraId="469F9BE4" w14:textId="0C35A6BE" w:rsidR="00B1766C" w:rsidRDefault="00EB3EBC" w:rsidP="00EB3EBC">
      <w:pPr>
        <w:tabs>
          <w:tab w:val="num" w:pos="0"/>
          <w:tab w:val="left" w:pos="4680"/>
        </w:tabs>
        <w:spacing w:after="60"/>
        <w:ind w:left="4321" w:hanging="4321"/>
        <w:jc w:val="both"/>
        <w:rPr>
          <w:rFonts w:cstheme="minorHAnsi"/>
          <w:iCs/>
          <w:highlight w:val="yellow"/>
          <w:u w:val="single"/>
        </w:rPr>
      </w:pPr>
      <w:r>
        <w:rPr>
          <w:rFonts w:cstheme="minorHAnsi"/>
          <w:iCs/>
          <w:highlight w:val="yellow"/>
          <w:u w:val="single"/>
        </w:rPr>
        <w:t>Budou řešeny tyto okruhy:</w:t>
      </w:r>
    </w:p>
    <w:p w14:paraId="2389384F" w14:textId="77777777" w:rsidR="00EB3EBC" w:rsidRDefault="00EB3EBC" w:rsidP="00EB3EBC">
      <w:pPr>
        <w:tabs>
          <w:tab w:val="num" w:pos="0"/>
          <w:tab w:val="left" w:pos="4680"/>
        </w:tabs>
        <w:spacing w:after="60"/>
        <w:ind w:left="4321" w:hanging="4321"/>
        <w:jc w:val="both"/>
        <w:rPr>
          <w:rFonts w:cstheme="minorHAnsi"/>
          <w:iCs/>
          <w:highlight w:val="yellow"/>
          <w:u w:val="single"/>
        </w:rPr>
      </w:pPr>
    </w:p>
    <w:p w14:paraId="64CD4F1B" w14:textId="77777777" w:rsidR="00EB3EBC" w:rsidRDefault="00EB3EBC" w:rsidP="00EB3EBC">
      <w:pPr>
        <w:numPr>
          <w:ilvl w:val="2"/>
          <w:numId w:val="1"/>
        </w:numPr>
        <w:jc w:val="both"/>
      </w:pPr>
      <w:proofErr w:type="spellStart"/>
      <w:r>
        <w:t>hydromorfologická</w:t>
      </w:r>
      <w:proofErr w:type="spellEnd"/>
      <w:r>
        <w:t xml:space="preserve"> analýza - vyhodnocení stávajícího </w:t>
      </w:r>
      <w:proofErr w:type="spellStart"/>
      <w:r>
        <w:t>hydromorfologického</w:t>
      </w:r>
      <w:proofErr w:type="spellEnd"/>
      <w:r>
        <w:t xml:space="preserve"> stavu toku</w:t>
      </w:r>
    </w:p>
    <w:p w14:paraId="3360B113" w14:textId="77777777" w:rsidR="00EB3EBC" w:rsidRDefault="00EB3EBC" w:rsidP="00EB3EBC">
      <w:pPr>
        <w:numPr>
          <w:ilvl w:val="2"/>
          <w:numId w:val="1"/>
        </w:numPr>
        <w:jc w:val="both"/>
      </w:pPr>
      <w:r>
        <w:t>Geodetické podklady, využití DMT a stávajících zaměření s doplněným geodetickým zaměření</w:t>
      </w:r>
    </w:p>
    <w:p w14:paraId="1F75FFD2" w14:textId="77777777" w:rsidR="00EB3EBC" w:rsidRDefault="00EB3EBC" w:rsidP="00EB3EBC">
      <w:pPr>
        <w:numPr>
          <w:ilvl w:val="2"/>
          <w:numId w:val="1"/>
        </w:numPr>
        <w:jc w:val="both"/>
      </w:pPr>
      <w:r>
        <w:t>Biologický průzkum včetně podkladů pro zjišťovací řízení EIA</w:t>
      </w:r>
    </w:p>
    <w:p w14:paraId="0CE3CD92" w14:textId="77777777" w:rsidR="00EB3EBC" w:rsidRDefault="00EB3EBC" w:rsidP="00EB3EBC">
      <w:pPr>
        <w:numPr>
          <w:ilvl w:val="2"/>
          <w:numId w:val="1"/>
        </w:numPr>
        <w:jc w:val="both"/>
      </w:pPr>
      <w:r>
        <w:t>shromáždění katastrálních podkladů, identifikace vlastníků, identifikace uživatelů</w:t>
      </w:r>
    </w:p>
    <w:p w14:paraId="1A5208F2" w14:textId="77777777" w:rsidR="00EB3EBC" w:rsidRDefault="00EB3EBC" w:rsidP="00EB3EBC">
      <w:pPr>
        <w:numPr>
          <w:ilvl w:val="2"/>
          <w:numId w:val="1"/>
        </w:numPr>
        <w:jc w:val="both"/>
      </w:pPr>
      <w:r>
        <w:t>prověření stavu a přípravy provádění komplexních pozemkových úprav</w:t>
      </w:r>
    </w:p>
    <w:p w14:paraId="582DFA83" w14:textId="77777777" w:rsidR="00EB3EBC" w:rsidRDefault="00EB3EBC" w:rsidP="00EB3EBC">
      <w:pPr>
        <w:numPr>
          <w:ilvl w:val="2"/>
          <w:numId w:val="1"/>
        </w:numPr>
        <w:jc w:val="both"/>
      </w:pPr>
      <w:r>
        <w:t>shromáždění a analýza podkladů územně plánovací dokumentace</w:t>
      </w:r>
    </w:p>
    <w:p w14:paraId="76F0622E" w14:textId="77777777" w:rsidR="00EB3EBC" w:rsidRDefault="00EB3EBC" w:rsidP="00EB3EBC">
      <w:pPr>
        <w:numPr>
          <w:ilvl w:val="2"/>
          <w:numId w:val="1"/>
        </w:numPr>
        <w:jc w:val="both"/>
      </w:pPr>
      <w:r>
        <w:t>terénní průzkumy, fotodokumentace</w:t>
      </w:r>
    </w:p>
    <w:p w14:paraId="7EF382CE" w14:textId="77777777" w:rsidR="00EB3EBC" w:rsidRDefault="00EB3EBC" w:rsidP="00EB3EBC">
      <w:pPr>
        <w:numPr>
          <w:ilvl w:val="2"/>
          <w:numId w:val="1"/>
        </w:numPr>
        <w:jc w:val="both"/>
      </w:pPr>
      <w:r>
        <w:t>splaveninová analýzy s přihlédnutím ke štěrkonosnému charakteru toku s posouzením bilance splavenin a říčního kontinua</w:t>
      </w:r>
    </w:p>
    <w:p w14:paraId="5EEE2207" w14:textId="77777777" w:rsidR="00EB3EBC" w:rsidRDefault="00EB3EBC" w:rsidP="00EB3EBC">
      <w:pPr>
        <w:numPr>
          <w:ilvl w:val="2"/>
          <w:numId w:val="1"/>
        </w:numPr>
        <w:jc w:val="both"/>
      </w:pPr>
      <w:r>
        <w:t>hydrologické poměry povrchových a podzemních vod, včetně poměrů historických (zdokumentování extrémních stavů - povodní a sucha)</w:t>
      </w:r>
    </w:p>
    <w:p w14:paraId="709C56DC" w14:textId="77777777" w:rsidR="00EB3EBC" w:rsidRDefault="00EB3EBC" w:rsidP="00EB3EBC">
      <w:pPr>
        <w:numPr>
          <w:ilvl w:val="2"/>
          <w:numId w:val="1"/>
        </w:numPr>
        <w:jc w:val="both"/>
      </w:pPr>
      <w:r>
        <w:t>přehled o současném a výhledovém užívání vod v zájmové oblasti, především o povolených a skutečných odběrech povrchových a podzemních vod a povolených a skutečných vypouštěních odpadních vod do vod povrchových a podzemních</w:t>
      </w:r>
    </w:p>
    <w:p w14:paraId="38BD1A7A" w14:textId="77777777" w:rsidR="00EB3EBC" w:rsidRDefault="00EB3EBC" w:rsidP="00EB3EBC">
      <w:pPr>
        <w:numPr>
          <w:ilvl w:val="2"/>
          <w:numId w:val="1"/>
        </w:numPr>
        <w:jc w:val="both"/>
      </w:pPr>
      <w:r>
        <w:t>stav odvodnění zemědělských a lesních pozemků údolní nivy</w:t>
      </w:r>
    </w:p>
    <w:p w14:paraId="5458583D" w14:textId="77777777" w:rsidR="00EB3EBC" w:rsidRPr="00EB3EBC" w:rsidRDefault="00EB3EBC" w:rsidP="00EB3EBC">
      <w:pPr>
        <w:numPr>
          <w:ilvl w:val="2"/>
          <w:numId w:val="1"/>
        </w:numPr>
        <w:jc w:val="both"/>
      </w:pPr>
      <w:r w:rsidRPr="00EB3EBC">
        <w:t xml:space="preserve">analýza geomorfologického potenciálu přirozeného stavu vodopisné sítě; </w:t>
      </w:r>
    </w:p>
    <w:p w14:paraId="5C3DF2B3" w14:textId="77777777" w:rsidR="00EB3EBC" w:rsidRPr="00EB3EBC" w:rsidRDefault="00EB3EBC" w:rsidP="00EB3EBC">
      <w:pPr>
        <w:numPr>
          <w:ilvl w:val="2"/>
          <w:numId w:val="1"/>
        </w:numPr>
        <w:jc w:val="both"/>
      </w:pPr>
      <w:r w:rsidRPr="00EB3EBC">
        <w:t xml:space="preserve">analýza současného stavu odklonu vodopisné sítě vodních toků a niv od potenciálu </w:t>
      </w:r>
    </w:p>
    <w:p w14:paraId="3C7540AE" w14:textId="77777777" w:rsidR="00EB3EBC" w:rsidRPr="00EB3EBC" w:rsidRDefault="00EB3EBC" w:rsidP="00EB3EBC">
      <w:pPr>
        <w:numPr>
          <w:ilvl w:val="2"/>
          <w:numId w:val="1"/>
        </w:numPr>
        <w:jc w:val="both"/>
      </w:pPr>
      <w:r w:rsidRPr="00EB3EBC">
        <w:t>posoudí vhodnost současných způsobů hospodaření na lesních a zemědělských plochách – až do návrhu vhodných opatření</w:t>
      </w:r>
    </w:p>
    <w:p w14:paraId="793F2075" w14:textId="77777777" w:rsidR="00EB3EBC" w:rsidRPr="00EB3EBC" w:rsidRDefault="00EB3EBC" w:rsidP="00EB3EBC">
      <w:pPr>
        <w:numPr>
          <w:ilvl w:val="2"/>
          <w:numId w:val="1"/>
        </w:numPr>
        <w:jc w:val="both"/>
      </w:pPr>
      <w:r w:rsidRPr="00EB3EBC">
        <w:t xml:space="preserve">provede kvantifikaci vnosu živin, především fosforu a dusíku, pesticidů a jejich reziduí ze zemědělství a lesnictví do vodního prostředí  </w:t>
      </w:r>
    </w:p>
    <w:p w14:paraId="18AA324C" w14:textId="77777777" w:rsidR="00EB3EBC" w:rsidRDefault="00EB3EBC" w:rsidP="00EB3EBC">
      <w:pPr>
        <w:numPr>
          <w:ilvl w:val="1"/>
          <w:numId w:val="1"/>
        </w:numPr>
        <w:tabs>
          <w:tab w:val="left" w:pos="1260"/>
        </w:tabs>
        <w:jc w:val="both"/>
      </w:pPr>
    </w:p>
    <w:p w14:paraId="17745428" w14:textId="77777777" w:rsidR="00EB3EBC" w:rsidRPr="00B1766C" w:rsidRDefault="00EB3EBC" w:rsidP="00EB3EBC">
      <w:pPr>
        <w:tabs>
          <w:tab w:val="num" w:pos="0"/>
          <w:tab w:val="left" w:pos="4680"/>
        </w:tabs>
        <w:spacing w:after="60"/>
        <w:ind w:left="4321" w:hanging="4321"/>
        <w:jc w:val="both"/>
        <w:rPr>
          <w:rFonts w:cstheme="minorHAnsi"/>
          <w:iCs/>
          <w:highlight w:val="yellow"/>
          <w:u w:val="single"/>
        </w:rPr>
      </w:pPr>
    </w:p>
    <w:p w14:paraId="617ED0B7" w14:textId="77777777" w:rsidR="00B1766C" w:rsidRPr="00B1766C" w:rsidRDefault="00B1766C" w:rsidP="00B1766C">
      <w:pPr>
        <w:tabs>
          <w:tab w:val="num" w:pos="0"/>
          <w:tab w:val="left" w:pos="4680"/>
        </w:tabs>
        <w:spacing w:after="60"/>
        <w:ind w:left="4678" w:hanging="4321"/>
        <w:jc w:val="both"/>
        <w:rPr>
          <w:rFonts w:cstheme="minorHAnsi"/>
          <w:iCs/>
          <w:highlight w:val="yellow"/>
          <w:u w:val="single"/>
        </w:rPr>
      </w:pPr>
    </w:p>
    <w:p w14:paraId="78114206" w14:textId="77777777" w:rsidR="0089407C" w:rsidRDefault="00B1766C" w:rsidP="0089407C">
      <w:pPr>
        <w:tabs>
          <w:tab w:val="num" w:pos="0"/>
          <w:tab w:val="left" w:pos="4680"/>
        </w:tabs>
        <w:spacing w:after="60"/>
        <w:jc w:val="both"/>
        <w:rPr>
          <w:rFonts w:cstheme="minorHAnsi"/>
          <w:iCs/>
          <w:highlight w:val="yellow"/>
          <w:u w:val="single"/>
        </w:rPr>
      </w:pPr>
      <w:r w:rsidRPr="00B1766C">
        <w:rPr>
          <w:rFonts w:cstheme="minorHAnsi"/>
          <w:iCs/>
          <w:highlight w:val="yellow"/>
          <w:u w:val="single"/>
        </w:rPr>
        <w:t>Dílčí plnění 2: - Návrhová část</w:t>
      </w:r>
    </w:p>
    <w:p w14:paraId="3C4FAB89" w14:textId="1E8B5A98" w:rsidR="0089407C" w:rsidRDefault="0089407C" w:rsidP="0089407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cstheme="minorHAnsi"/>
          <w:bCs/>
          <w:iCs/>
          <w:highlight w:val="yellow"/>
        </w:rPr>
      </w:pPr>
      <w:r w:rsidRPr="00B1766C">
        <w:rPr>
          <w:rFonts w:cstheme="minorHAnsi"/>
          <w:iCs/>
          <w:highlight w:val="yellow"/>
        </w:rPr>
        <w:t xml:space="preserve">bude provedeno </w:t>
      </w:r>
      <w:r w:rsidRPr="00B1766C">
        <w:rPr>
          <w:rFonts w:cstheme="minorHAnsi"/>
          <w:b/>
          <w:iCs/>
          <w:highlight w:val="yellow"/>
        </w:rPr>
        <w:t xml:space="preserve">do </w:t>
      </w:r>
      <w:r>
        <w:rPr>
          <w:rFonts w:cstheme="minorHAnsi"/>
          <w:b/>
          <w:iCs/>
          <w:highlight w:val="yellow"/>
        </w:rPr>
        <w:t>310</w:t>
      </w:r>
      <w:r w:rsidRPr="00B1766C">
        <w:rPr>
          <w:rFonts w:cstheme="minorHAnsi"/>
          <w:b/>
          <w:iCs/>
          <w:highlight w:val="yellow"/>
        </w:rPr>
        <w:t xml:space="preserve"> dnů </w:t>
      </w:r>
      <w:r w:rsidRPr="00B1766C">
        <w:rPr>
          <w:rFonts w:cstheme="minorHAnsi"/>
          <w:bCs/>
          <w:iCs/>
          <w:highlight w:val="yellow"/>
        </w:rPr>
        <w:t xml:space="preserve">od nabytí účinnosti </w:t>
      </w:r>
      <w:proofErr w:type="spellStart"/>
      <w:r w:rsidRPr="00B1766C">
        <w:rPr>
          <w:rFonts w:cstheme="minorHAnsi"/>
          <w:bCs/>
          <w:iCs/>
          <w:highlight w:val="yellow"/>
        </w:rPr>
        <w:t>SoD</w:t>
      </w:r>
      <w:proofErr w:type="spellEnd"/>
    </w:p>
    <w:p w14:paraId="2EDBC0C0" w14:textId="77777777" w:rsidR="0089407C" w:rsidRPr="00B1766C" w:rsidRDefault="0089407C" w:rsidP="0089407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cstheme="minorHAnsi"/>
          <w:b/>
          <w:iCs/>
          <w:highlight w:val="yellow"/>
        </w:rPr>
      </w:pPr>
    </w:p>
    <w:p w14:paraId="41001C6F" w14:textId="3F7E4151" w:rsidR="0089407C" w:rsidRDefault="0089407C" w:rsidP="0089407C">
      <w:pPr>
        <w:tabs>
          <w:tab w:val="num" w:pos="0"/>
          <w:tab w:val="left" w:pos="4680"/>
        </w:tabs>
        <w:spacing w:after="60"/>
        <w:jc w:val="both"/>
        <w:rPr>
          <w:rFonts w:cstheme="minorHAnsi"/>
          <w:iCs/>
          <w:highlight w:val="yellow"/>
          <w:u w:val="single"/>
        </w:rPr>
      </w:pPr>
      <w:r w:rsidRPr="00B1766C">
        <w:rPr>
          <w:rFonts w:cstheme="minorHAnsi"/>
          <w:iCs/>
        </w:rPr>
        <w:t>V rámci dílčího plnění budou provedeny následující položky rozpočtu:</w:t>
      </w:r>
    </w:p>
    <w:p w14:paraId="4A277846" w14:textId="1C245455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B1) Analýza a aplikace zkušeností na hlavním tok Vláry – aplikace na území CZ</w:t>
      </w:r>
    </w:p>
    <w:p w14:paraId="673DE141" w14:textId="128C4001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B1) Analýza a aplikace zkušeností na hlavním tok Vláry – aplikace na území SK</w:t>
      </w:r>
    </w:p>
    <w:p w14:paraId="4BF773EC" w14:textId="298020BC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B2) Analýza a aplikace zkušeností na přítoky na území ČR i SK– aplikace na území SK</w:t>
      </w:r>
    </w:p>
    <w:p w14:paraId="6F27017E" w14:textId="337492E1" w:rsidR="00B1766C" w:rsidRPr="00406726" w:rsidRDefault="00B1766C" w:rsidP="00406726">
      <w:pPr>
        <w:numPr>
          <w:ilvl w:val="2"/>
          <w:numId w:val="1"/>
        </w:numPr>
        <w:jc w:val="both"/>
      </w:pPr>
      <w:r w:rsidRPr="00406726">
        <w:t>B2) Analýza a aplikace zkušeností na přítoky na území ČR i SK– aplikace na území SK</w:t>
      </w:r>
    </w:p>
    <w:p w14:paraId="7C15832F" w14:textId="77777777" w:rsidR="00EB3EBC" w:rsidRDefault="00EB3EBC" w:rsidP="00B1766C">
      <w:pPr>
        <w:tabs>
          <w:tab w:val="num" w:pos="0"/>
          <w:tab w:val="left" w:pos="4678"/>
        </w:tabs>
        <w:spacing w:after="60"/>
        <w:ind w:left="4678" w:hanging="4321"/>
        <w:jc w:val="both"/>
        <w:rPr>
          <w:rFonts w:cstheme="minorHAnsi"/>
          <w:iCs/>
          <w:highlight w:val="yellow"/>
        </w:rPr>
      </w:pPr>
    </w:p>
    <w:p w14:paraId="60569011" w14:textId="77777777" w:rsidR="00EB3EBC" w:rsidRDefault="00EB3EBC" w:rsidP="00EB3EBC">
      <w:pPr>
        <w:tabs>
          <w:tab w:val="num" w:pos="0"/>
          <w:tab w:val="left" w:pos="4680"/>
        </w:tabs>
        <w:spacing w:after="60"/>
        <w:ind w:left="4321" w:hanging="4321"/>
        <w:jc w:val="both"/>
        <w:rPr>
          <w:rFonts w:cstheme="minorHAnsi"/>
          <w:iCs/>
          <w:highlight w:val="yellow"/>
          <w:u w:val="single"/>
        </w:rPr>
      </w:pPr>
      <w:r>
        <w:rPr>
          <w:rFonts w:cstheme="minorHAnsi"/>
          <w:iCs/>
          <w:highlight w:val="yellow"/>
          <w:u w:val="single"/>
        </w:rPr>
        <w:t>Budou řešeny tyto okruhy:</w:t>
      </w:r>
    </w:p>
    <w:p w14:paraId="14CDB74E" w14:textId="77777777" w:rsidR="00EB3EBC" w:rsidRDefault="00EB3EBC" w:rsidP="00EB3EBC">
      <w:pPr>
        <w:numPr>
          <w:ilvl w:val="2"/>
          <w:numId w:val="1"/>
        </w:numPr>
        <w:jc w:val="both"/>
      </w:pPr>
      <w:r>
        <w:t xml:space="preserve">navrhne zlepšení stávajícího </w:t>
      </w:r>
      <w:proofErr w:type="spellStart"/>
      <w:r>
        <w:t>hydromorfologického</w:t>
      </w:r>
      <w:proofErr w:type="spellEnd"/>
      <w:r>
        <w:t xml:space="preserve"> stavu říční sítě, a tím také biologické rozmanitosti stanovišť rostlin a živočichů vázaných na vodní prostředí, </w:t>
      </w:r>
    </w:p>
    <w:p w14:paraId="32FDF285" w14:textId="77777777" w:rsidR="00EB3EBC" w:rsidRDefault="00EB3EBC" w:rsidP="00EB3EBC">
      <w:pPr>
        <w:numPr>
          <w:ilvl w:val="2"/>
          <w:numId w:val="1"/>
        </w:numPr>
        <w:jc w:val="both"/>
      </w:pPr>
      <w:r>
        <w:t>vyhledá a posoudí lokality vhodné k obnově přirozeného morfologického vzorce, včetně postupu obnovy</w:t>
      </w:r>
    </w:p>
    <w:p w14:paraId="534DA139" w14:textId="77777777" w:rsidR="00EB3EBC" w:rsidRDefault="00EB3EBC" w:rsidP="00EB3EBC">
      <w:pPr>
        <w:numPr>
          <w:ilvl w:val="2"/>
          <w:numId w:val="1"/>
        </w:numPr>
        <w:jc w:val="both"/>
      </w:pPr>
      <w:r>
        <w:t>navrhne opatření k zachování a zlepšení současných odtokových poměrů zejména z hlediska zvýšení retenční schopnosti krajiny, omezení nadměrné vodní eroze půdy a s tím související návaznosti na ochranu před povodněmi,</w:t>
      </w:r>
    </w:p>
    <w:p w14:paraId="642ED76E" w14:textId="77777777" w:rsidR="00EB3EBC" w:rsidRDefault="00EB3EBC" w:rsidP="00EB3EBC">
      <w:pPr>
        <w:numPr>
          <w:ilvl w:val="2"/>
          <w:numId w:val="1"/>
        </w:numPr>
        <w:jc w:val="both"/>
      </w:pPr>
      <w:r>
        <w:t xml:space="preserve">návrh koncepce a posouzení variant řešení migračního </w:t>
      </w:r>
      <w:proofErr w:type="spellStart"/>
      <w:r>
        <w:t>zprostupnění</w:t>
      </w:r>
      <w:proofErr w:type="spellEnd"/>
      <w:r>
        <w:t xml:space="preserve"> celého úseku Vláry</w:t>
      </w:r>
    </w:p>
    <w:p w14:paraId="740B7AFD" w14:textId="77777777" w:rsidR="00EB3EBC" w:rsidRDefault="00EB3EBC" w:rsidP="00EB3EBC">
      <w:pPr>
        <w:numPr>
          <w:ilvl w:val="2"/>
          <w:numId w:val="1"/>
        </w:numPr>
        <w:jc w:val="both"/>
      </w:pPr>
      <w:r>
        <w:t>Projednaní se strategickým partnerem (CHKO) případně dalšími zástupci ochrany přírody</w:t>
      </w:r>
    </w:p>
    <w:p w14:paraId="777A288E" w14:textId="77777777" w:rsidR="00EB3EBC" w:rsidRDefault="00EB3EBC" w:rsidP="00EB3EBC">
      <w:pPr>
        <w:numPr>
          <w:ilvl w:val="2"/>
          <w:numId w:val="1"/>
        </w:numPr>
        <w:jc w:val="both"/>
      </w:pPr>
      <w:r>
        <w:t>základní posouzení nákladu na realizaci</w:t>
      </w:r>
    </w:p>
    <w:p w14:paraId="2472B81D" w14:textId="77777777" w:rsidR="00EB3EBC" w:rsidRDefault="00EB3EBC" w:rsidP="00EB3EBC">
      <w:pPr>
        <w:numPr>
          <w:ilvl w:val="2"/>
          <w:numId w:val="1"/>
        </w:numPr>
        <w:jc w:val="both"/>
      </w:pPr>
      <w:r>
        <w:t>projednání s vlastníky (min formou veřejné prezentace a písemného obeslání)</w:t>
      </w:r>
    </w:p>
    <w:p w14:paraId="600DF2FF" w14:textId="77777777" w:rsidR="00EB3EBC" w:rsidRDefault="00EB3EBC" w:rsidP="00EB3EBC">
      <w:pPr>
        <w:numPr>
          <w:ilvl w:val="2"/>
          <w:numId w:val="1"/>
        </w:numPr>
        <w:jc w:val="both"/>
      </w:pPr>
      <w:r>
        <w:t>hydrotechnické posouzení (1D model)</w:t>
      </w:r>
    </w:p>
    <w:p w14:paraId="122FFEE6" w14:textId="77777777" w:rsidR="00EB3EBC" w:rsidRDefault="00EB3EBC" w:rsidP="00EB3EBC">
      <w:pPr>
        <w:numPr>
          <w:ilvl w:val="2"/>
          <w:numId w:val="1"/>
        </w:numPr>
        <w:jc w:val="both"/>
      </w:pPr>
      <w:proofErr w:type="spellStart"/>
      <w:r>
        <w:t>hydromorfologická</w:t>
      </w:r>
      <w:proofErr w:type="spellEnd"/>
      <w:r>
        <w:t xml:space="preserve"> analýza - vyhodnocení návrhového stavu toku</w:t>
      </w:r>
    </w:p>
    <w:p w14:paraId="5652845C" w14:textId="77777777" w:rsidR="00EB3EBC" w:rsidRDefault="00EB3EBC" w:rsidP="00EB3EBC">
      <w:pPr>
        <w:numPr>
          <w:ilvl w:val="2"/>
          <w:numId w:val="1"/>
        </w:numPr>
        <w:jc w:val="both"/>
      </w:pPr>
      <w:r>
        <w:t>posouzení návrhu dle multikriteriální analýzy (proveditelnost, ekonomická výhodnost, protipovodňová přinos, přinos k morfologii, přínos pro biodiverzitu, adaptace na změnu klimatu, preference správce toku, preference ochrany přírody atd.)</w:t>
      </w:r>
    </w:p>
    <w:p w14:paraId="5E404F4F" w14:textId="341278FD" w:rsidR="003A4D51" w:rsidRPr="003A4D51" w:rsidRDefault="003A4D51" w:rsidP="003A4D51">
      <w:pPr>
        <w:numPr>
          <w:ilvl w:val="2"/>
          <w:numId w:val="1"/>
        </w:numPr>
        <w:jc w:val="both"/>
      </w:pPr>
      <w:r w:rsidRPr="003A4D51">
        <w:t>Návrh revitalizační opatření na vodních tocích a v</w:t>
      </w:r>
      <w:r w:rsidRPr="003A4D51">
        <w:t> </w:t>
      </w:r>
      <w:r w:rsidRPr="003A4D51">
        <w:t>nivě</w:t>
      </w:r>
      <w:r w:rsidRPr="003A4D51">
        <w:t xml:space="preserve"> vybraných přítoků</w:t>
      </w:r>
    </w:p>
    <w:p w14:paraId="642F8255" w14:textId="0C2E486C" w:rsidR="003A4D51" w:rsidRPr="003A4D51" w:rsidRDefault="003A4D51" w:rsidP="003A4D51">
      <w:pPr>
        <w:numPr>
          <w:ilvl w:val="2"/>
          <w:numId w:val="1"/>
        </w:numPr>
        <w:jc w:val="both"/>
      </w:pPr>
      <w:r w:rsidRPr="003A4D51">
        <w:t xml:space="preserve">návrh koncepce a posouzení variant řešení migračního </w:t>
      </w:r>
      <w:proofErr w:type="spellStart"/>
      <w:r w:rsidRPr="003A4D51">
        <w:t>zprostupnění</w:t>
      </w:r>
      <w:proofErr w:type="spellEnd"/>
      <w:r w:rsidRPr="003A4D51">
        <w:t xml:space="preserve"> vybraných přítoku</w:t>
      </w:r>
    </w:p>
    <w:p w14:paraId="2C9CCA19" w14:textId="77777777" w:rsidR="003A4D51" w:rsidRPr="003A4D51" w:rsidRDefault="003A4D51" w:rsidP="003A4D51">
      <w:pPr>
        <w:numPr>
          <w:ilvl w:val="2"/>
          <w:numId w:val="1"/>
        </w:numPr>
        <w:jc w:val="both"/>
      </w:pPr>
      <w:r w:rsidRPr="003A4D51">
        <w:t>návrh společného katalogu opatření uplatnitelného v rámci povodí správci toku nebo i třetími subjekty se zaměřením na:</w:t>
      </w:r>
    </w:p>
    <w:p w14:paraId="1601DD54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t xml:space="preserve">omezení erozního smyvu a erozního ohrožení </w:t>
      </w:r>
    </w:p>
    <w:p w14:paraId="6094947D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t xml:space="preserve"> využití hydrického potenciál lesní půdy a lesních porostů </w:t>
      </w:r>
    </w:p>
    <w:p w14:paraId="3F11695C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lastRenderedPageBreak/>
        <w:t>odolnost lesních půd vůči těžebně dopravní erozi</w:t>
      </w:r>
    </w:p>
    <w:p w14:paraId="1A03C21F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t>omezení svahové nestability v území a prevenci sesuvů</w:t>
      </w:r>
    </w:p>
    <w:p w14:paraId="1D3ACE9E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t>opatření na lesních cestách</w:t>
      </w:r>
    </w:p>
    <w:p w14:paraId="74155571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t>přírodě blízká opatření k dosažení rovnovážné bilance splavenin</w:t>
      </w:r>
    </w:p>
    <w:p w14:paraId="717BCC47" w14:textId="77777777" w:rsidR="003A4D51" w:rsidRPr="003A4D51" w:rsidRDefault="003A4D51" w:rsidP="003A4D51">
      <w:pPr>
        <w:numPr>
          <w:ilvl w:val="4"/>
          <w:numId w:val="1"/>
        </w:numPr>
        <w:tabs>
          <w:tab w:val="left" w:pos="1260"/>
        </w:tabs>
        <w:jc w:val="both"/>
      </w:pPr>
      <w:r w:rsidRPr="003A4D51">
        <w:t>zvýšení biodiverzity</w:t>
      </w:r>
    </w:p>
    <w:p w14:paraId="38CADE31" w14:textId="77777777" w:rsidR="00EB3EBC" w:rsidRDefault="00EB3EBC" w:rsidP="00B1766C">
      <w:pPr>
        <w:tabs>
          <w:tab w:val="num" w:pos="0"/>
          <w:tab w:val="left" w:pos="4678"/>
        </w:tabs>
        <w:spacing w:after="60"/>
        <w:ind w:left="4678" w:hanging="4321"/>
        <w:jc w:val="both"/>
        <w:rPr>
          <w:rFonts w:cstheme="minorHAnsi"/>
          <w:iCs/>
          <w:highlight w:val="yellow"/>
        </w:rPr>
      </w:pPr>
    </w:p>
    <w:p w14:paraId="6C12ACBC" w14:textId="77777777" w:rsidR="00EB3EBC" w:rsidRDefault="00EB3EBC" w:rsidP="00B1766C">
      <w:pPr>
        <w:tabs>
          <w:tab w:val="num" w:pos="0"/>
          <w:tab w:val="left" w:pos="4678"/>
        </w:tabs>
        <w:spacing w:after="60"/>
        <w:ind w:left="4678" w:hanging="4321"/>
        <w:jc w:val="both"/>
        <w:rPr>
          <w:rFonts w:cstheme="minorHAnsi"/>
          <w:iCs/>
          <w:highlight w:val="yellow"/>
        </w:rPr>
      </w:pPr>
    </w:p>
    <w:p w14:paraId="46713A08" w14:textId="0CEBCC21" w:rsidR="00B1766C" w:rsidRPr="00B1766C" w:rsidRDefault="00B1766C" w:rsidP="00B1766C">
      <w:pPr>
        <w:tabs>
          <w:tab w:val="num" w:pos="0"/>
          <w:tab w:val="left" w:pos="4678"/>
        </w:tabs>
        <w:spacing w:after="60"/>
        <w:ind w:left="4678" w:hanging="4321"/>
        <w:jc w:val="both"/>
        <w:rPr>
          <w:rFonts w:cstheme="minorHAnsi"/>
          <w:b/>
          <w:iCs/>
          <w:highlight w:val="yellow"/>
        </w:rPr>
      </w:pPr>
    </w:p>
    <w:p w14:paraId="40B45B4C" w14:textId="77777777" w:rsidR="0089407C" w:rsidRDefault="00B1766C" w:rsidP="0089407C">
      <w:pPr>
        <w:tabs>
          <w:tab w:val="num" w:pos="0"/>
          <w:tab w:val="left" w:pos="4678"/>
        </w:tabs>
        <w:spacing w:after="60" w:line="360" w:lineRule="auto"/>
        <w:jc w:val="both"/>
        <w:rPr>
          <w:rFonts w:cstheme="minorHAnsi"/>
          <w:iCs/>
          <w:highlight w:val="yellow"/>
          <w:u w:val="single"/>
        </w:rPr>
      </w:pPr>
      <w:r w:rsidRPr="00B1766C">
        <w:rPr>
          <w:rFonts w:cstheme="minorHAnsi"/>
          <w:iCs/>
          <w:highlight w:val="yellow"/>
          <w:u w:val="single"/>
        </w:rPr>
        <w:t>Dílčí plnění 3 – Akční plán</w:t>
      </w:r>
    </w:p>
    <w:p w14:paraId="6DCD5293" w14:textId="5DE53380" w:rsidR="0089407C" w:rsidRDefault="0089407C" w:rsidP="0089407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cstheme="minorHAnsi"/>
          <w:bCs/>
          <w:iCs/>
          <w:highlight w:val="yellow"/>
        </w:rPr>
      </w:pPr>
      <w:r w:rsidRPr="00B1766C">
        <w:rPr>
          <w:rFonts w:cstheme="minorHAnsi"/>
          <w:iCs/>
          <w:highlight w:val="yellow"/>
        </w:rPr>
        <w:t xml:space="preserve">bude provedeno </w:t>
      </w:r>
      <w:r w:rsidRPr="00B1766C">
        <w:rPr>
          <w:rFonts w:cstheme="minorHAnsi"/>
          <w:b/>
          <w:iCs/>
          <w:highlight w:val="yellow"/>
        </w:rPr>
        <w:t xml:space="preserve">do </w:t>
      </w:r>
      <w:r>
        <w:rPr>
          <w:rFonts w:cstheme="minorHAnsi"/>
          <w:b/>
          <w:iCs/>
          <w:highlight w:val="yellow"/>
        </w:rPr>
        <w:t>420</w:t>
      </w:r>
      <w:r w:rsidRPr="00B1766C">
        <w:rPr>
          <w:rFonts w:cstheme="minorHAnsi"/>
          <w:b/>
          <w:iCs/>
          <w:highlight w:val="yellow"/>
        </w:rPr>
        <w:t xml:space="preserve"> dnů </w:t>
      </w:r>
      <w:r w:rsidRPr="00B1766C">
        <w:rPr>
          <w:rFonts w:cstheme="minorHAnsi"/>
          <w:bCs/>
          <w:iCs/>
          <w:highlight w:val="yellow"/>
        </w:rPr>
        <w:t xml:space="preserve">od nabytí účinnosti </w:t>
      </w:r>
      <w:proofErr w:type="spellStart"/>
      <w:r w:rsidRPr="00B1766C">
        <w:rPr>
          <w:rFonts w:cstheme="minorHAnsi"/>
          <w:bCs/>
          <w:iCs/>
          <w:highlight w:val="yellow"/>
        </w:rPr>
        <w:t>SoD</w:t>
      </w:r>
      <w:proofErr w:type="spellEnd"/>
    </w:p>
    <w:p w14:paraId="343B0643" w14:textId="77777777" w:rsidR="0089407C" w:rsidRPr="00B1766C" w:rsidRDefault="0089407C" w:rsidP="0089407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cstheme="minorHAnsi"/>
          <w:b/>
          <w:iCs/>
          <w:highlight w:val="yellow"/>
        </w:rPr>
      </w:pPr>
    </w:p>
    <w:p w14:paraId="77597FA1" w14:textId="77777777" w:rsidR="0089407C" w:rsidRPr="0089407C" w:rsidRDefault="0089407C" w:rsidP="0089407C">
      <w:pPr>
        <w:pStyle w:val="Odstavecseseznamem"/>
        <w:numPr>
          <w:ilvl w:val="0"/>
          <w:numId w:val="1"/>
        </w:numPr>
        <w:tabs>
          <w:tab w:val="num" w:pos="0"/>
          <w:tab w:val="left" w:pos="4680"/>
        </w:tabs>
        <w:spacing w:after="60"/>
        <w:jc w:val="both"/>
        <w:rPr>
          <w:rFonts w:cstheme="minorHAnsi"/>
          <w:iCs/>
        </w:rPr>
      </w:pPr>
      <w:r w:rsidRPr="0089407C">
        <w:rPr>
          <w:rFonts w:cstheme="minorHAnsi"/>
          <w:iCs/>
        </w:rPr>
        <w:t>V rámci dílčího plnění budou provedeny následující položky rozpočtu:</w:t>
      </w:r>
    </w:p>
    <w:p w14:paraId="09305CE0" w14:textId="699CA9C6" w:rsidR="0089407C" w:rsidRPr="0089407C" w:rsidRDefault="0089407C" w:rsidP="0089407C">
      <w:pPr>
        <w:numPr>
          <w:ilvl w:val="2"/>
          <w:numId w:val="1"/>
        </w:numPr>
        <w:jc w:val="both"/>
      </w:pPr>
      <w:r w:rsidRPr="0089407C">
        <w:t>B3) Akční plán – návrh na území CZ</w:t>
      </w:r>
    </w:p>
    <w:p w14:paraId="1F67B2E1" w14:textId="0199E8E7" w:rsidR="0089407C" w:rsidRPr="0089407C" w:rsidRDefault="0089407C" w:rsidP="0089407C">
      <w:pPr>
        <w:numPr>
          <w:ilvl w:val="2"/>
          <w:numId w:val="1"/>
        </w:numPr>
        <w:jc w:val="both"/>
      </w:pPr>
      <w:r w:rsidRPr="0089407C">
        <w:t>B3) Akční plán – návrh na území SK</w:t>
      </w:r>
    </w:p>
    <w:p w14:paraId="4FC1410A" w14:textId="77777777" w:rsidR="00B1766C" w:rsidRPr="00B1766C" w:rsidRDefault="00B1766C" w:rsidP="000E4B9F">
      <w:pPr>
        <w:tabs>
          <w:tab w:val="left" w:pos="1134"/>
        </w:tabs>
        <w:spacing w:after="0" w:line="240" w:lineRule="auto"/>
        <w:jc w:val="both"/>
        <w:rPr>
          <w:rFonts w:cstheme="minorHAnsi"/>
          <w:iCs/>
        </w:rPr>
      </w:pPr>
    </w:p>
    <w:p w14:paraId="5D3A0359" w14:textId="77777777" w:rsidR="003A4D51" w:rsidRDefault="003A4D51" w:rsidP="003A4D51">
      <w:pPr>
        <w:tabs>
          <w:tab w:val="num" w:pos="0"/>
          <w:tab w:val="left" w:pos="4680"/>
        </w:tabs>
        <w:spacing w:after="60"/>
        <w:ind w:left="4321" w:hanging="4321"/>
        <w:jc w:val="both"/>
        <w:rPr>
          <w:rFonts w:cstheme="minorHAnsi"/>
          <w:iCs/>
          <w:highlight w:val="yellow"/>
          <w:u w:val="single"/>
        </w:rPr>
      </w:pPr>
      <w:r>
        <w:rPr>
          <w:rFonts w:cstheme="minorHAnsi"/>
          <w:iCs/>
          <w:highlight w:val="yellow"/>
          <w:u w:val="single"/>
        </w:rPr>
        <w:t>Budou řešeny tyto okruhy:</w:t>
      </w:r>
    </w:p>
    <w:p w14:paraId="0ABC491D" w14:textId="77777777" w:rsidR="003A4D51" w:rsidRDefault="003A4D51" w:rsidP="003A4D51">
      <w:pPr>
        <w:pStyle w:val="Odstavecseseznamem"/>
      </w:pPr>
    </w:p>
    <w:p w14:paraId="42C0B4E4" w14:textId="348AC823" w:rsidR="003A4D51" w:rsidRDefault="003A4D51" w:rsidP="003A4D51">
      <w:pPr>
        <w:numPr>
          <w:ilvl w:val="2"/>
          <w:numId w:val="1"/>
        </w:numPr>
        <w:jc w:val="both"/>
      </w:pPr>
      <w:r>
        <w:t>Stanovení krátkodobých cílů a jejich projednání ve spolupráci se strategickým partnerem (CHKO)</w:t>
      </w:r>
    </w:p>
    <w:p w14:paraId="75E86E23" w14:textId="77777777" w:rsidR="003A4D51" w:rsidRDefault="003A4D51" w:rsidP="003A4D51">
      <w:pPr>
        <w:numPr>
          <w:ilvl w:val="2"/>
          <w:numId w:val="1"/>
        </w:numPr>
        <w:jc w:val="both"/>
      </w:pPr>
      <w:r>
        <w:t xml:space="preserve">Stanovení střednědobých cílů a postupných kroku jejich dosažení </w:t>
      </w:r>
    </w:p>
    <w:p w14:paraId="70D61BD0" w14:textId="77777777" w:rsidR="003A4D51" w:rsidRDefault="003A4D51" w:rsidP="003A4D51">
      <w:pPr>
        <w:numPr>
          <w:ilvl w:val="2"/>
          <w:numId w:val="1"/>
        </w:numPr>
        <w:jc w:val="both"/>
      </w:pPr>
      <w:r>
        <w:t>Stanovení dlouhodobých cílů a tvorba podkladu a dokumentů pro jejich uplatňování v územně plánovacích a dalších dokumentacích</w:t>
      </w:r>
    </w:p>
    <w:p w14:paraId="60F5F85E" w14:textId="77777777" w:rsidR="003A4D51" w:rsidRDefault="003A4D51" w:rsidP="003A4D51">
      <w:pPr>
        <w:numPr>
          <w:ilvl w:val="2"/>
          <w:numId w:val="1"/>
        </w:numPr>
        <w:jc w:val="both"/>
      </w:pPr>
      <w:r>
        <w:t xml:space="preserve">Zpracovaní investičních záměrů pro vybrané krátkodobé cíle (2x CZ + 2 x SK) </w:t>
      </w:r>
    </w:p>
    <w:p w14:paraId="0DB7AA60" w14:textId="0350EA51" w:rsidR="0066241F" w:rsidRDefault="003A4D51" w:rsidP="003E65E5">
      <w:pPr>
        <w:numPr>
          <w:ilvl w:val="2"/>
          <w:numId w:val="1"/>
        </w:numPr>
        <w:jc w:val="both"/>
      </w:pPr>
      <w:r>
        <w:t>Zpracovaní investičních záměrů v úrovni projektové dokumentace pro vybrané krátkodobé cíle (1x CZ + 1 x SK)</w:t>
      </w:r>
    </w:p>
    <w:p w14:paraId="57857D5A" w14:textId="77777777" w:rsidR="0066241F" w:rsidRDefault="0066241F" w:rsidP="00134CAE">
      <w:pPr>
        <w:pStyle w:val="Normln2"/>
        <w:jc w:val="both"/>
        <w:rPr>
          <w:rFonts w:cs="Arial"/>
        </w:rPr>
      </w:pPr>
    </w:p>
    <w:p w14:paraId="317053BF" w14:textId="77777777" w:rsidR="001A7505" w:rsidRDefault="001A7505" w:rsidP="001A7505"/>
    <w:p w14:paraId="48EBB616" w14:textId="77777777" w:rsidR="001A7505" w:rsidRDefault="001A7505"/>
    <w:sectPr w:rsidR="001A750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69D3" w14:textId="77777777" w:rsidR="001A7505" w:rsidRDefault="001A7505" w:rsidP="001A7505">
      <w:pPr>
        <w:spacing w:after="0" w:line="240" w:lineRule="auto"/>
      </w:pPr>
      <w:r>
        <w:separator/>
      </w:r>
    </w:p>
  </w:endnote>
  <w:endnote w:type="continuationSeparator" w:id="0">
    <w:p w14:paraId="3A93D399" w14:textId="77777777" w:rsidR="001A7505" w:rsidRDefault="001A7505" w:rsidP="001A7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8513554"/>
      <w:docPartObj>
        <w:docPartGallery w:val="AutoText"/>
      </w:docPartObj>
    </w:sdtPr>
    <w:sdtEndPr/>
    <w:sdtContent>
      <w:p w14:paraId="21B085AC" w14:textId="77777777" w:rsidR="001A7505" w:rsidRDefault="001A7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6907543"/>
      <w:docPartObj>
        <w:docPartGallery w:val="AutoText"/>
      </w:docPartObj>
    </w:sdtPr>
    <w:sdtEndPr/>
    <w:sdtContent>
      <w:p w14:paraId="3304D7B5" w14:textId="77777777" w:rsidR="00295FEF" w:rsidRDefault="00295FEF">
        <w:pPr>
          <w:pStyle w:val="Zpat"/>
          <w:jc w:val="center"/>
        </w:pPr>
      </w:p>
      <w:p w14:paraId="684CBCBD" w14:textId="28D5F42B" w:rsidR="001A7505" w:rsidRDefault="001A7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EA4C5" w14:textId="77777777" w:rsidR="001A7505" w:rsidRDefault="001A7505" w:rsidP="001A7505">
      <w:pPr>
        <w:spacing w:after="0" w:line="240" w:lineRule="auto"/>
      </w:pPr>
      <w:r>
        <w:separator/>
      </w:r>
    </w:p>
  </w:footnote>
  <w:footnote w:type="continuationSeparator" w:id="0">
    <w:p w14:paraId="4AC8AA1C" w14:textId="77777777" w:rsidR="001A7505" w:rsidRDefault="001A7505" w:rsidP="001A7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4" w:type="dxa"/>
      <w:tblLook w:val="04A0" w:firstRow="1" w:lastRow="0" w:firstColumn="1" w:lastColumn="0" w:noHBand="0" w:noVBand="1"/>
    </w:tblPr>
    <w:tblGrid>
      <w:gridCol w:w="7054"/>
      <w:gridCol w:w="2640"/>
    </w:tblGrid>
    <w:tr w:rsidR="001A7505" w14:paraId="2FAE63F6" w14:textId="77777777" w:rsidTr="0036111B">
      <w:tc>
        <w:tcPr>
          <w:tcW w:w="7054" w:type="dxa"/>
          <w:tcBorders>
            <w:bottom w:val="single" w:sz="2" w:space="0" w:color="auto"/>
          </w:tcBorders>
        </w:tcPr>
        <w:p w14:paraId="476D2FE3" w14:textId="77777777" w:rsidR="001A7505" w:rsidRDefault="001A7505" w:rsidP="001A7505">
          <w:pPr>
            <w:pStyle w:val="Zhlav"/>
            <w:rPr>
              <w:b/>
              <w:sz w:val="20"/>
              <w:szCs w:val="20"/>
            </w:rPr>
          </w:pPr>
          <w:r>
            <w:rPr>
              <w:sz w:val="20"/>
              <w:szCs w:val="20"/>
            </w:rPr>
            <w:t>Vlára a toky Bílých Karpat</w:t>
          </w:r>
        </w:p>
      </w:tc>
      <w:tc>
        <w:tcPr>
          <w:tcW w:w="2640" w:type="dxa"/>
          <w:tcBorders>
            <w:bottom w:val="single" w:sz="2" w:space="0" w:color="auto"/>
          </w:tcBorders>
          <w:vAlign w:val="bottom"/>
        </w:tcPr>
        <w:p w14:paraId="42D2E52A" w14:textId="77777777" w:rsidR="001A7505" w:rsidRDefault="001A7505" w:rsidP="001A7505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680DAC76" w14:textId="77777777" w:rsidR="001A7505" w:rsidRPr="001A7505" w:rsidRDefault="001A7505" w:rsidP="001A75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4" w:type="dxa"/>
      <w:tblLook w:val="04A0" w:firstRow="1" w:lastRow="0" w:firstColumn="1" w:lastColumn="0" w:noHBand="0" w:noVBand="1"/>
    </w:tblPr>
    <w:tblGrid>
      <w:gridCol w:w="7054"/>
      <w:gridCol w:w="2640"/>
    </w:tblGrid>
    <w:tr w:rsidR="001A7505" w14:paraId="565C65A6" w14:textId="77777777">
      <w:tc>
        <w:tcPr>
          <w:tcW w:w="7054" w:type="dxa"/>
          <w:tcBorders>
            <w:bottom w:val="single" w:sz="2" w:space="0" w:color="auto"/>
          </w:tcBorders>
        </w:tcPr>
        <w:p w14:paraId="2F190EF9" w14:textId="2081FD54" w:rsidR="001A7505" w:rsidRDefault="001A7505">
          <w:pPr>
            <w:pStyle w:val="Zhlav"/>
            <w:rPr>
              <w:b/>
              <w:sz w:val="20"/>
              <w:szCs w:val="20"/>
            </w:rPr>
          </w:pPr>
          <w:r>
            <w:rPr>
              <w:sz w:val="20"/>
              <w:szCs w:val="20"/>
            </w:rPr>
            <w:t>Vlára a toky Bílých Karpat</w:t>
          </w:r>
        </w:p>
      </w:tc>
      <w:tc>
        <w:tcPr>
          <w:tcW w:w="2640" w:type="dxa"/>
          <w:tcBorders>
            <w:bottom w:val="single" w:sz="2" w:space="0" w:color="auto"/>
          </w:tcBorders>
          <w:vAlign w:val="bottom"/>
        </w:tcPr>
        <w:p w14:paraId="6F602445" w14:textId="77777777" w:rsidR="001A7505" w:rsidRDefault="001A7505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31B47170" w14:textId="77777777" w:rsidR="001A7505" w:rsidRDefault="001A75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F49C5"/>
    <w:multiLevelType w:val="multilevel"/>
    <w:tmpl w:val="A6605D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1F7E5375"/>
    <w:multiLevelType w:val="multilevel"/>
    <w:tmpl w:val="1F7E5375"/>
    <w:lvl w:ilvl="0">
      <w:numFmt w:val="decimal"/>
      <w:lvlText w:val="%1"/>
      <w:lvlJc w:val="left"/>
      <w:pPr>
        <w:ind w:left="996" w:hanging="9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9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9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6" w:hanging="9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861520"/>
    <w:multiLevelType w:val="multilevel"/>
    <w:tmpl w:val="3F366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3F470D48"/>
    <w:multiLevelType w:val="multilevel"/>
    <w:tmpl w:val="3F470D4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2AD2BBF"/>
    <w:multiLevelType w:val="multilevel"/>
    <w:tmpl w:val="42AD2BBF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5" w15:restartNumberingAfterBreak="0">
    <w:nsid w:val="521532E2"/>
    <w:multiLevelType w:val="multilevel"/>
    <w:tmpl w:val="521532E2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6" w15:restartNumberingAfterBreak="0">
    <w:nsid w:val="67A73225"/>
    <w:multiLevelType w:val="hybridMultilevel"/>
    <w:tmpl w:val="C520E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51406">
    <w:abstractNumId w:val="3"/>
  </w:num>
  <w:num w:numId="2" w16cid:durableId="773211297">
    <w:abstractNumId w:val="5"/>
  </w:num>
  <w:num w:numId="3" w16cid:durableId="1369798158">
    <w:abstractNumId w:val="4"/>
  </w:num>
  <w:num w:numId="4" w16cid:durableId="638799774">
    <w:abstractNumId w:val="1"/>
  </w:num>
  <w:num w:numId="5" w16cid:durableId="645865875">
    <w:abstractNumId w:val="6"/>
  </w:num>
  <w:num w:numId="6" w16cid:durableId="932861023">
    <w:abstractNumId w:val="0"/>
  </w:num>
  <w:num w:numId="7" w16cid:durableId="2073383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21"/>
    <w:rsid w:val="000E4B9F"/>
    <w:rsid w:val="00134CAE"/>
    <w:rsid w:val="00183483"/>
    <w:rsid w:val="001940D8"/>
    <w:rsid w:val="001A7505"/>
    <w:rsid w:val="002503FB"/>
    <w:rsid w:val="00256C5B"/>
    <w:rsid w:val="002804B5"/>
    <w:rsid w:val="00295FEF"/>
    <w:rsid w:val="002963A1"/>
    <w:rsid w:val="00324E2D"/>
    <w:rsid w:val="0033007D"/>
    <w:rsid w:val="0036631D"/>
    <w:rsid w:val="00372EC4"/>
    <w:rsid w:val="00383ACA"/>
    <w:rsid w:val="00385360"/>
    <w:rsid w:val="003A4D51"/>
    <w:rsid w:val="003C7D36"/>
    <w:rsid w:val="00402397"/>
    <w:rsid w:val="00406726"/>
    <w:rsid w:val="00461D30"/>
    <w:rsid w:val="004C2FF8"/>
    <w:rsid w:val="004E3547"/>
    <w:rsid w:val="00517644"/>
    <w:rsid w:val="005924B1"/>
    <w:rsid w:val="00624C0B"/>
    <w:rsid w:val="00654F30"/>
    <w:rsid w:val="0066241F"/>
    <w:rsid w:val="006E1847"/>
    <w:rsid w:val="00796C1F"/>
    <w:rsid w:val="007A1AF2"/>
    <w:rsid w:val="00804759"/>
    <w:rsid w:val="00870405"/>
    <w:rsid w:val="00893D16"/>
    <w:rsid w:val="0089407C"/>
    <w:rsid w:val="008D396C"/>
    <w:rsid w:val="00922892"/>
    <w:rsid w:val="00982428"/>
    <w:rsid w:val="009E5CCF"/>
    <w:rsid w:val="009E6D00"/>
    <w:rsid w:val="009F62A8"/>
    <w:rsid w:val="00A13491"/>
    <w:rsid w:val="00A15C74"/>
    <w:rsid w:val="00A32EA6"/>
    <w:rsid w:val="00AC4C82"/>
    <w:rsid w:val="00AF3F8D"/>
    <w:rsid w:val="00B1766C"/>
    <w:rsid w:val="00B34670"/>
    <w:rsid w:val="00D43A74"/>
    <w:rsid w:val="00DB301E"/>
    <w:rsid w:val="00DC6D5C"/>
    <w:rsid w:val="00E21A21"/>
    <w:rsid w:val="00EB3EBC"/>
    <w:rsid w:val="00ED0E75"/>
    <w:rsid w:val="00F1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951B34"/>
  <w15:chartTrackingRefBased/>
  <w15:docId w15:val="{DECA89D6-E62B-4B71-A270-7FD3C667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A21"/>
  </w:style>
  <w:style w:type="paragraph" w:styleId="Nadpis1">
    <w:name w:val="heading 1"/>
    <w:basedOn w:val="Normln"/>
    <w:next w:val="Normln"/>
    <w:link w:val="Nadpis1Char"/>
    <w:uiPriority w:val="9"/>
    <w:qFormat/>
    <w:rsid w:val="00982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4C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qFormat/>
    <w:rsid w:val="001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1A7505"/>
  </w:style>
  <w:style w:type="character" w:styleId="Znakapoznpodarou">
    <w:name w:val="footnote reference"/>
    <w:basedOn w:val="Standardnpsmoodstavce"/>
    <w:uiPriority w:val="99"/>
    <w:semiHidden/>
    <w:unhideWhenUsed/>
    <w:qFormat/>
    <w:rsid w:val="001A750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1A75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7505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qFormat/>
    <w:rsid w:val="001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7505"/>
  </w:style>
  <w:style w:type="character" w:styleId="Hypertextovodkaz">
    <w:name w:val="Hyperlink"/>
    <w:basedOn w:val="Standardnpsmoodstavce"/>
    <w:uiPriority w:val="99"/>
    <w:unhideWhenUsed/>
    <w:rsid w:val="001A7505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A7505"/>
    <w:pPr>
      <w:spacing w:after="200" w:line="276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82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34C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ln2">
    <w:name w:val="Normální2"/>
    <w:rsid w:val="00134CAE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16">
    <w:name w:val="16"/>
    <w:basedOn w:val="Standardnpsmoodstavce"/>
    <w:rsid w:val="00134CAE"/>
    <w:rPr>
      <w:rFonts w:ascii="Calibri" w:hAnsi="Calibri" w:cs="Calibri" w:hint="default"/>
      <w:color w:val="0000FF"/>
      <w:u w:val="single"/>
    </w:rPr>
  </w:style>
  <w:style w:type="paragraph" w:customStyle="1" w:styleId="l3">
    <w:name w:val="l3"/>
    <w:basedOn w:val="Normln"/>
    <w:rsid w:val="0036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6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6631D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66241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241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6241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E6287-08C4-4557-8EF5-EF92934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748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Veselý David</dc:creator>
  <cp:keywords/>
  <dc:description/>
  <cp:lastModifiedBy>Veselý David</cp:lastModifiedBy>
  <cp:revision>12</cp:revision>
  <cp:lastPrinted>2025-04-03T13:26:00Z</cp:lastPrinted>
  <dcterms:created xsi:type="dcterms:W3CDTF">2025-05-16T14:23:00Z</dcterms:created>
  <dcterms:modified xsi:type="dcterms:W3CDTF">2025-07-31T14:18:00Z</dcterms:modified>
</cp:coreProperties>
</file>